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7DE91712"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232F9D">
        <w:rPr>
          <w:bCs/>
          <w:noProof w:val="0"/>
          <w:sz w:val="24"/>
          <w:szCs w:val="24"/>
        </w:rPr>
        <w:t>1</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D42EC0">
        <w:rPr>
          <w:bCs/>
          <w:noProof w:val="0"/>
          <w:sz w:val="24"/>
          <w:szCs w:val="24"/>
        </w:rPr>
        <w:t>034</w:t>
      </w:r>
      <w:r w:rsidR="00CE1934">
        <w:rPr>
          <w:bCs/>
          <w:noProof w:val="0"/>
          <w:sz w:val="24"/>
          <w:szCs w:val="24"/>
        </w:rPr>
        <w:t>09</w:t>
      </w:r>
    </w:p>
    <w:bookmarkEnd w:id="0"/>
    <w:bookmarkEnd w:id="1"/>
    <w:p w14:paraId="42FCAD20" w14:textId="5F529324" w:rsidR="00960980" w:rsidRPr="00B7321B" w:rsidRDefault="00A641C9" w:rsidP="00960980">
      <w:pPr>
        <w:pStyle w:val="Header"/>
        <w:rPr>
          <w:bCs/>
          <w:noProof w:val="0"/>
          <w:sz w:val="24"/>
          <w:szCs w:val="24"/>
        </w:rPr>
      </w:pPr>
      <w:r w:rsidRPr="00A641C9">
        <w:rPr>
          <w:bCs/>
          <w:noProof w:val="0"/>
          <w:sz w:val="24"/>
          <w:szCs w:val="24"/>
        </w:rPr>
        <w:t>St Julian, Malta</w:t>
      </w:r>
      <w:r w:rsidR="00960980" w:rsidRPr="00B7321B">
        <w:rPr>
          <w:bCs/>
          <w:noProof w:val="0"/>
          <w:sz w:val="24"/>
          <w:szCs w:val="24"/>
        </w:rPr>
        <w:t xml:space="preserve">, </w:t>
      </w:r>
      <w:r>
        <w:rPr>
          <w:bCs/>
          <w:noProof w:val="0"/>
          <w:sz w:val="24"/>
          <w:szCs w:val="24"/>
        </w:rPr>
        <w:t>19</w:t>
      </w:r>
      <w:r w:rsidR="00960980" w:rsidRPr="00B7321B">
        <w:rPr>
          <w:bCs/>
          <w:noProof w:val="0"/>
          <w:sz w:val="24"/>
          <w:szCs w:val="24"/>
        </w:rPr>
        <w:t xml:space="preserve"> – </w:t>
      </w:r>
      <w:r>
        <w:rPr>
          <w:bCs/>
          <w:noProof w:val="0"/>
          <w:sz w:val="24"/>
          <w:szCs w:val="24"/>
        </w:rPr>
        <w:t>23</w:t>
      </w:r>
      <w:r w:rsidR="00960980" w:rsidRPr="00B7321B">
        <w:rPr>
          <w:bCs/>
          <w:noProof w:val="0"/>
          <w:sz w:val="24"/>
          <w:szCs w:val="24"/>
        </w:rPr>
        <w:t xml:space="preserve"> </w:t>
      </w:r>
      <w:r>
        <w:rPr>
          <w:bCs/>
          <w:noProof w:val="0"/>
          <w:sz w:val="24"/>
          <w:szCs w:val="24"/>
        </w:rPr>
        <w:t>May</w:t>
      </w:r>
      <w:r w:rsidR="00960980" w:rsidRPr="00B7321B">
        <w:rPr>
          <w:bCs/>
          <w:noProof w:val="0"/>
          <w:sz w:val="24"/>
          <w:szCs w:val="24"/>
        </w:rPr>
        <w:t xml:space="preserve"> 202</w:t>
      </w:r>
      <w:r w:rsidR="00960980">
        <w:rPr>
          <w:bCs/>
          <w:noProof w:val="0"/>
          <w:sz w:val="24"/>
          <w:szCs w:val="24"/>
        </w:rPr>
        <w:t>5</w:t>
      </w:r>
    </w:p>
    <w:p w14:paraId="20CC60C7" w14:textId="77777777" w:rsidR="00AC6AF3" w:rsidRPr="00BF79D4" w:rsidRDefault="00AC6AF3" w:rsidP="16512788">
      <w:pPr>
        <w:pStyle w:val="CRCoverPage"/>
        <w:rPr>
          <w:rFonts w:cs="Arial"/>
          <w:b/>
          <w:bCs/>
          <w:sz w:val="24"/>
          <w:szCs w:val="24"/>
          <w:lang w:val="en-US"/>
        </w:rPr>
      </w:pPr>
    </w:p>
    <w:p w14:paraId="30E02941" w14:textId="4FC54110"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A613FC" w:rsidRPr="00BF79D4">
        <w:rPr>
          <w:rFonts w:cs="Arial"/>
          <w:b/>
          <w:bCs/>
          <w:sz w:val="24"/>
          <w:szCs w:val="24"/>
          <w:lang w:val="en-US"/>
        </w:rPr>
        <w:t>1</w:t>
      </w:r>
      <w:r w:rsidR="00E104CA" w:rsidRPr="00BF79D4">
        <w:rPr>
          <w:rFonts w:cs="Arial"/>
          <w:b/>
          <w:bCs/>
          <w:sz w:val="24"/>
          <w:szCs w:val="24"/>
          <w:lang w:val="en-US"/>
        </w:rPr>
        <w:t>5</w:t>
      </w:r>
      <w:proofErr w:type="gramEnd"/>
      <w:r w:rsidR="00A613FC" w:rsidRPr="00BF79D4">
        <w:rPr>
          <w:rFonts w:cs="Arial"/>
          <w:b/>
          <w:bCs/>
          <w:sz w:val="24"/>
          <w:szCs w:val="24"/>
          <w:lang w:val="en-US"/>
        </w:rPr>
        <w:t>.</w:t>
      </w:r>
      <w:r w:rsidR="00CE1934">
        <w:rPr>
          <w:rFonts w:cs="Arial"/>
          <w:b/>
          <w:bCs/>
          <w:sz w:val="24"/>
          <w:szCs w:val="24"/>
          <w:lang w:val="en-US"/>
        </w:rPr>
        <w:t>12</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4A585EE9"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CE1934" w:rsidRPr="00CE1934">
        <w:rPr>
          <w:rFonts w:ascii="Arial" w:hAnsi="Arial" w:cs="Arial"/>
          <w:b/>
          <w:bCs/>
          <w:sz w:val="24"/>
        </w:rPr>
        <w:t>LB-CA switching 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E37695C" w14:textId="7D7BF2A1" w:rsidR="006B1F9F" w:rsidRDefault="00CE1934" w:rsidP="00FE4290">
      <w:bookmarkStart w:id="2" w:name="_Hlk510705081"/>
      <w:r>
        <w:t>RAN1#120bis discussed LB-CA switching WI the first time, and RAN1#121 is the first meeting with the corresponding UE features discussion on the agenda.</w:t>
      </w:r>
    </w:p>
    <w:p w14:paraId="0D00A0D9" w14:textId="64598D51" w:rsidR="00CE1934" w:rsidRDefault="00CE1934" w:rsidP="00FE4290">
      <w:r>
        <w:t>This contribution provides our initial suggestion for basis of the LB-CA UE Features discussions.</w:t>
      </w:r>
    </w:p>
    <w:p w14:paraId="71230483" w14:textId="475B51D3" w:rsidR="00305297" w:rsidRDefault="00EB01ED" w:rsidP="00E076CE">
      <w:pPr>
        <w:pStyle w:val="Heading1"/>
      </w:pPr>
      <w:r>
        <w:t>P</w:t>
      </w:r>
      <w:r w:rsidR="00F11B74">
        <w:t>roposal</w:t>
      </w:r>
    </w:p>
    <w:p w14:paraId="440B5895" w14:textId="2120F7D0" w:rsidR="00AC6AF3" w:rsidRDefault="00EB01ED" w:rsidP="00EB01ED">
      <w:r>
        <w:rPr>
          <w:b/>
          <w:bCs/>
        </w:rPr>
        <w:t xml:space="preserve">Proposal 1: </w:t>
      </w:r>
      <w:r>
        <w:t>Consider the following new feature group for LBCA with switching UE features discussions.</w:t>
      </w:r>
      <w:bookmarkEnd w:id="2"/>
    </w:p>
    <w:p w14:paraId="768210CC" w14:textId="77777777" w:rsidR="00CE1934" w:rsidRDefault="00CE1934" w:rsidP="05E9F06E">
      <w:pPr>
        <w:overflowPunct/>
        <w:autoSpaceDE/>
        <w:autoSpaceDN/>
        <w:adjustRightInd/>
        <w:spacing w:after="0"/>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3402"/>
        <w:gridCol w:w="973"/>
        <w:gridCol w:w="1482"/>
        <w:gridCol w:w="2055"/>
      </w:tblGrid>
      <w:tr w:rsidR="0090386B" w:rsidRPr="00CE1934" w14:paraId="78086896" w14:textId="77777777" w:rsidTr="00C52BAA">
        <w:trPr>
          <w:trHeight w:val="20"/>
        </w:trPr>
        <w:tc>
          <w:tcPr>
            <w:tcW w:w="1716" w:type="dxa"/>
            <w:tcBorders>
              <w:top w:val="single" w:sz="4" w:space="0" w:color="auto"/>
              <w:left w:val="single" w:sz="4" w:space="0" w:color="auto"/>
              <w:bottom w:val="single" w:sz="4" w:space="0" w:color="auto"/>
              <w:right w:val="single" w:sz="4" w:space="0" w:color="auto"/>
            </w:tcBorders>
            <w:hideMark/>
          </w:tcPr>
          <w:p w14:paraId="22B958E6" w14:textId="77777777" w:rsidR="0090386B" w:rsidRPr="00CE1934" w:rsidRDefault="0090386B" w:rsidP="00CE1934">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CE1934">
              <w:rPr>
                <w:rFonts w:ascii="Arial" w:eastAsia="Times New Roman" w:hAnsi="Arial" w:cs="Arial"/>
                <w:b/>
                <w:color w:val="000000"/>
                <w:sz w:val="18"/>
                <w:szCs w:val="18"/>
                <w:lang w:eastAsia="ja-JP"/>
              </w:rPr>
              <w:t>Feature group</w:t>
            </w:r>
          </w:p>
        </w:tc>
        <w:tc>
          <w:tcPr>
            <w:tcW w:w="3402" w:type="dxa"/>
            <w:tcBorders>
              <w:top w:val="single" w:sz="4" w:space="0" w:color="auto"/>
              <w:left w:val="single" w:sz="4" w:space="0" w:color="auto"/>
              <w:bottom w:val="single" w:sz="4" w:space="0" w:color="auto"/>
              <w:right w:val="single" w:sz="4" w:space="0" w:color="auto"/>
            </w:tcBorders>
            <w:hideMark/>
          </w:tcPr>
          <w:p w14:paraId="3B9425BA" w14:textId="77777777" w:rsidR="0090386B" w:rsidRPr="00CE1934" w:rsidRDefault="0090386B" w:rsidP="00CE1934">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CE1934">
              <w:rPr>
                <w:rFonts w:ascii="Arial" w:eastAsia="Times New Roman" w:hAnsi="Arial" w:cs="Arial"/>
                <w:b/>
                <w:color w:val="000000"/>
                <w:sz w:val="18"/>
                <w:szCs w:val="18"/>
                <w:lang w:eastAsia="ja-JP"/>
              </w:rPr>
              <w:t>Components</w:t>
            </w:r>
          </w:p>
        </w:tc>
        <w:tc>
          <w:tcPr>
            <w:tcW w:w="973" w:type="dxa"/>
            <w:tcBorders>
              <w:top w:val="single" w:sz="4" w:space="0" w:color="auto"/>
              <w:left w:val="single" w:sz="4" w:space="0" w:color="auto"/>
              <w:bottom w:val="single" w:sz="4" w:space="0" w:color="auto"/>
              <w:right w:val="single" w:sz="4" w:space="0" w:color="auto"/>
            </w:tcBorders>
            <w:hideMark/>
          </w:tcPr>
          <w:p w14:paraId="550BAC1E" w14:textId="77777777" w:rsidR="0090386B" w:rsidRPr="00CE1934" w:rsidRDefault="0090386B" w:rsidP="00CE1934">
            <w:pPr>
              <w:keepNext/>
              <w:keepLines/>
              <w:rPr>
                <w:rFonts w:ascii="Arial" w:hAnsi="Arial" w:cs="Arial"/>
                <w:b/>
                <w:color w:val="000000"/>
                <w:sz w:val="18"/>
                <w:szCs w:val="18"/>
                <w:lang w:eastAsia="ja-JP"/>
              </w:rPr>
            </w:pPr>
            <w:r w:rsidRPr="00CE1934">
              <w:rPr>
                <w:rFonts w:ascii="Arial" w:hAnsi="Arial" w:cs="Arial"/>
                <w:b/>
                <w:color w:val="000000"/>
                <w:sz w:val="18"/>
                <w:szCs w:val="18"/>
                <w:lang w:eastAsia="ja-JP"/>
              </w:rPr>
              <w:t>Type</w:t>
            </w:r>
          </w:p>
          <w:p w14:paraId="3BD6D989" w14:textId="78CE8136" w:rsidR="0090386B" w:rsidRPr="00CE1934" w:rsidRDefault="0090386B" w:rsidP="00CE1934">
            <w:pPr>
              <w:keepNext/>
              <w:keepLines/>
              <w:rPr>
                <w:rFonts w:ascii="Arial" w:hAnsi="Arial" w:cs="Arial"/>
                <w:b/>
                <w:color w:val="000000"/>
                <w:sz w:val="18"/>
                <w:szCs w:val="18"/>
                <w:lang w:eastAsia="ja-JP"/>
              </w:rPr>
            </w:pPr>
          </w:p>
        </w:tc>
        <w:tc>
          <w:tcPr>
            <w:tcW w:w="1482" w:type="dxa"/>
            <w:tcBorders>
              <w:top w:val="single" w:sz="4" w:space="0" w:color="auto"/>
              <w:left w:val="single" w:sz="4" w:space="0" w:color="auto"/>
              <w:bottom w:val="single" w:sz="4" w:space="0" w:color="auto"/>
              <w:right w:val="single" w:sz="4" w:space="0" w:color="auto"/>
            </w:tcBorders>
            <w:hideMark/>
          </w:tcPr>
          <w:p w14:paraId="40A5DF9D" w14:textId="77777777" w:rsidR="0090386B" w:rsidRPr="00CE1934" w:rsidRDefault="0090386B" w:rsidP="00CE1934">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CE1934">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6806DFE" w14:textId="77777777" w:rsidR="0090386B" w:rsidRPr="00CE1934" w:rsidRDefault="0090386B" w:rsidP="00CE1934">
            <w:pPr>
              <w:keepNext/>
              <w:keepLines/>
              <w:overflowPunct/>
              <w:autoSpaceDE/>
              <w:autoSpaceDN/>
              <w:adjustRightInd/>
              <w:spacing w:after="0"/>
              <w:jc w:val="center"/>
              <w:textAlignment w:val="auto"/>
              <w:rPr>
                <w:rFonts w:ascii="Arial" w:eastAsia="Times New Roman" w:hAnsi="Arial" w:cs="Arial"/>
                <w:b/>
                <w:color w:val="000000"/>
                <w:sz w:val="18"/>
                <w:szCs w:val="18"/>
                <w:lang w:eastAsia="ja-JP"/>
              </w:rPr>
            </w:pPr>
            <w:r w:rsidRPr="00CE1934">
              <w:rPr>
                <w:rFonts w:ascii="Arial" w:eastAsia="Times New Roman" w:hAnsi="Arial" w:cs="Arial"/>
                <w:b/>
                <w:color w:val="000000"/>
                <w:sz w:val="18"/>
                <w:szCs w:val="18"/>
                <w:lang w:eastAsia="ja-JP"/>
              </w:rPr>
              <w:t>Mandatory/Optional</w:t>
            </w:r>
          </w:p>
        </w:tc>
      </w:tr>
      <w:tr w:rsidR="0090386B" w:rsidRPr="00263855" w14:paraId="3B07BA94" w14:textId="77777777" w:rsidTr="00C52BAA">
        <w:trPr>
          <w:trHeight w:val="20"/>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0A6BCB83" w14:textId="798FD926" w:rsidR="0090386B" w:rsidRPr="00CE1934" w:rsidRDefault="0090386B" w:rsidP="0090386B">
            <w:pPr>
              <w:overflowPunct/>
              <w:autoSpaceDE/>
              <w:autoSpaceDN/>
              <w:adjustRightInd/>
              <w:textAlignment w:val="auto"/>
              <w:rPr>
                <w:rFonts w:ascii="Arial" w:eastAsia="MS Mincho" w:hAnsi="Arial" w:cs="Arial"/>
                <w:sz w:val="18"/>
                <w:szCs w:val="18"/>
                <w:lang w:eastAsia="ja-JP"/>
              </w:rPr>
            </w:pPr>
            <w:r>
              <w:rPr>
                <w:rFonts w:ascii="Arial" w:eastAsia="MS Mincho" w:hAnsi="Arial" w:cs="Arial"/>
                <w:sz w:val="18"/>
                <w:szCs w:val="18"/>
                <w:lang w:eastAsia="ja-JP"/>
              </w:rPr>
              <w:t xml:space="preserve">Low-band </w:t>
            </w:r>
            <w:proofErr w:type="spellStart"/>
            <w:r>
              <w:rPr>
                <w:rFonts w:ascii="Arial" w:eastAsia="MS Mincho" w:hAnsi="Arial" w:cs="Arial"/>
                <w:sz w:val="18"/>
                <w:szCs w:val="18"/>
                <w:lang w:eastAsia="ja-JP"/>
              </w:rPr>
              <w:t>Low-band</w:t>
            </w:r>
            <w:proofErr w:type="spellEnd"/>
            <w:r>
              <w:rPr>
                <w:rFonts w:ascii="Arial" w:eastAsia="MS Mincho" w:hAnsi="Arial" w:cs="Arial"/>
                <w:sz w:val="18"/>
                <w:szCs w:val="18"/>
                <w:lang w:eastAsia="ja-JP"/>
              </w:rPr>
              <w:t xml:space="preserve"> switching</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7EED14D" w14:textId="5D501634" w:rsidR="0090386B" w:rsidRPr="0090386B" w:rsidRDefault="0090386B" w:rsidP="0090386B">
            <w:pPr>
              <w:pStyle w:val="ListParagraph"/>
              <w:numPr>
                <w:ilvl w:val="0"/>
                <w:numId w:val="15"/>
              </w:numPr>
              <w:ind w:left="320"/>
              <w:rPr>
                <w:rFonts w:ascii="Arial" w:eastAsia="MS Gothic" w:hAnsi="Arial" w:cs="Arial"/>
                <w:color w:val="000000"/>
                <w:sz w:val="18"/>
                <w:szCs w:val="18"/>
                <w:lang w:val="en-US" w:eastAsia="ja-JP"/>
              </w:rPr>
            </w:pPr>
            <w:r w:rsidRPr="0090386B">
              <w:rPr>
                <w:rFonts w:ascii="Arial" w:eastAsia="MS Gothic" w:hAnsi="Arial" w:cs="Arial"/>
                <w:color w:val="000000"/>
                <w:sz w:val="18"/>
                <w:szCs w:val="18"/>
                <w:lang w:val="en-US" w:eastAsia="ja-JP"/>
              </w:rPr>
              <w:t>Configuration of switching pattern bitmap for a band pair to switch between</w:t>
            </w:r>
            <w:r w:rsidR="00C52BAA">
              <w:rPr>
                <w:rFonts w:ascii="Arial" w:eastAsia="MS Gothic" w:hAnsi="Arial" w:cs="Arial"/>
                <w:color w:val="000000"/>
                <w:sz w:val="18"/>
                <w:szCs w:val="18"/>
                <w:lang w:val="en-US" w:eastAsia="ja-JP"/>
              </w:rPr>
              <w:t xml:space="preserve"> the following cases</w:t>
            </w:r>
            <w:r w:rsidRPr="0090386B">
              <w:rPr>
                <w:rFonts w:ascii="Arial" w:eastAsia="MS Gothic" w:hAnsi="Arial" w:cs="Arial"/>
                <w:color w:val="000000"/>
                <w:sz w:val="18"/>
                <w:szCs w:val="18"/>
                <w:lang w:val="en-US" w:eastAsia="ja-JP"/>
              </w:rPr>
              <w:t>:</w:t>
            </w:r>
          </w:p>
          <w:p w14:paraId="7FE063FD" w14:textId="7CC288BD" w:rsidR="0090386B" w:rsidRPr="0090386B" w:rsidRDefault="0090386B" w:rsidP="0090386B">
            <w:pPr>
              <w:pStyle w:val="ListParagraph"/>
              <w:numPr>
                <w:ilvl w:val="0"/>
                <w:numId w:val="14"/>
              </w:numPr>
              <w:ind w:left="603" w:hanging="337"/>
              <w:rPr>
                <w:rFonts w:ascii="Arial" w:eastAsia="MS Gothic" w:hAnsi="Arial" w:cs="Arial"/>
                <w:color w:val="000000"/>
                <w:sz w:val="18"/>
                <w:szCs w:val="18"/>
                <w:lang w:val="en-US" w:eastAsia="ja-JP"/>
              </w:rPr>
            </w:pPr>
            <w:r w:rsidRPr="0090386B">
              <w:rPr>
                <w:rFonts w:ascii="Arial" w:eastAsia="MS Gothic" w:hAnsi="Arial" w:cs="Arial"/>
                <w:color w:val="000000"/>
                <w:sz w:val="18"/>
                <w:szCs w:val="18"/>
                <w:lang w:val="en-US" w:eastAsia="ja-JP"/>
              </w:rPr>
              <w:t>Tx/Rx on FDD carrier 1 and no Rx on SDL carrier 2</w:t>
            </w:r>
          </w:p>
          <w:p w14:paraId="43CECCFA" w14:textId="1BBC1C89" w:rsidR="0090386B" w:rsidRDefault="0090386B" w:rsidP="0090386B">
            <w:pPr>
              <w:pStyle w:val="ListParagraph"/>
              <w:numPr>
                <w:ilvl w:val="0"/>
                <w:numId w:val="14"/>
              </w:numPr>
              <w:ind w:left="603" w:hanging="337"/>
              <w:rPr>
                <w:rFonts w:ascii="Arial" w:eastAsia="MS Gothic" w:hAnsi="Arial" w:cs="Arial"/>
                <w:color w:val="000000"/>
                <w:sz w:val="18"/>
                <w:szCs w:val="18"/>
                <w:lang w:val="en-US" w:eastAsia="ja-JP"/>
              </w:rPr>
            </w:pPr>
            <w:r w:rsidRPr="0090386B">
              <w:rPr>
                <w:rFonts w:ascii="Arial" w:eastAsia="MS Gothic" w:hAnsi="Arial" w:cs="Arial"/>
                <w:color w:val="000000"/>
                <w:sz w:val="18"/>
                <w:szCs w:val="18"/>
                <w:lang w:val="en-US" w:eastAsia="ja-JP"/>
              </w:rPr>
              <w:t>Rx on SDL carrier 2 and no Tx/Rx on FDD carrier 1</w:t>
            </w:r>
          </w:p>
          <w:p w14:paraId="79319768" w14:textId="77777777" w:rsidR="0090386B" w:rsidRDefault="0090386B" w:rsidP="0090386B">
            <w:pPr>
              <w:pStyle w:val="ListParagraph"/>
              <w:numPr>
                <w:ilvl w:val="0"/>
                <w:numId w:val="15"/>
              </w:numPr>
              <w:ind w:left="320"/>
              <w:rPr>
                <w:rFonts w:ascii="Arial" w:eastAsia="MS Gothic" w:hAnsi="Arial" w:cs="Arial"/>
                <w:color w:val="000000"/>
                <w:sz w:val="18"/>
                <w:szCs w:val="18"/>
                <w:lang w:val="en-US" w:eastAsia="ja-JP"/>
              </w:rPr>
            </w:pPr>
            <w:r>
              <w:rPr>
                <w:rFonts w:ascii="Arial" w:eastAsia="MS Gothic" w:hAnsi="Arial" w:cs="Arial"/>
                <w:color w:val="000000"/>
                <w:sz w:val="18"/>
                <w:szCs w:val="18"/>
                <w:lang w:val="en-US" w:eastAsia="ja-JP"/>
              </w:rPr>
              <w:t>Configuration of switching gaps</w:t>
            </w:r>
          </w:p>
          <w:p w14:paraId="00D54754" w14:textId="77777777" w:rsidR="0090386B" w:rsidRDefault="00C52BAA" w:rsidP="0090386B">
            <w:pPr>
              <w:pStyle w:val="ListParagraph"/>
              <w:numPr>
                <w:ilvl w:val="0"/>
                <w:numId w:val="15"/>
              </w:numPr>
              <w:ind w:left="320"/>
              <w:rPr>
                <w:rFonts w:ascii="Arial" w:eastAsia="MS Gothic" w:hAnsi="Arial" w:cs="Arial"/>
                <w:color w:val="000000"/>
                <w:sz w:val="18"/>
                <w:szCs w:val="18"/>
                <w:lang w:val="en-US" w:eastAsia="ja-JP"/>
              </w:rPr>
            </w:pPr>
            <w:r>
              <w:rPr>
                <w:rFonts w:ascii="Arial" w:eastAsia="MS Gothic" w:hAnsi="Arial" w:cs="Arial"/>
                <w:color w:val="000000"/>
                <w:sz w:val="18"/>
                <w:szCs w:val="18"/>
                <w:lang w:val="en-US" w:eastAsia="ja-JP"/>
              </w:rPr>
              <w:t>Required minimum switching gap</w:t>
            </w:r>
          </w:p>
          <w:p w14:paraId="646B102B" w14:textId="7EA293BC" w:rsidR="00C52BAA" w:rsidRPr="0090386B" w:rsidRDefault="00C52BAA" w:rsidP="00C52BAA">
            <w:pPr>
              <w:pStyle w:val="ListParagraph"/>
              <w:ind w:left="320"/>
              <w:rPr>
                <w:rFonts w:ascii="Arial" w:eastAsia="MS Gothic" w:hAnsi="Arial" w:cs="Arial"/>
                <w:color w:val="000000"/>
                <w:sz w:val="18"/>
                <w:szCs w:val="18"/>
                <w:lang w:val="en-US" w:eastAsia="ja-JP"/>
              </w:rPr>
            </w:pPr>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1E749D77" w14:textId="77777777" w:rsidR="0090386B" w:rsidRPr="00CE1934" w:rsidRDefault="0090386B" w:rsidP="0090386B">
            <w:pPr>
              <w:overflowPunct/>
              <w:autoSpaceDE/>
              <w:autoSpaceDN/>
              <w:adjustRightInd/>
              <w:textAlignment w:val="auto"/>
              <w:rPr>
                <w:rFonts w:ascii="Arial" w:eastAsia="MS Mincho" w:hAnsi="Arial" w:cs="Arial"/>
                <w:sz w:val="18"/>
                <w:szCs w:val="18"/>
                <w:lang w:eastAsia="ja-JP"/>
              </w:rPr>
            </w:pPr>
            <w:r w:rsidRPr="00CE1934">
              <w:rPr>
                <w:rFonts w:ascii="Arial" w:eastAsia="MS Mincho" w:hAnsi="Arial" w:cs="Arial" w:hint="eastAsia"/>
                <w:sz w:val="18"/>
                <w:szCs w:val="18"/>
                <w:lang w:eastAsia="ja-JP"/>
              </w:rPr>
              <w:t>Per band pair per BC</w:t>
            </w:r>
          </w:p>
        </w:tc>
        <w:tc>
          <w:tcPr>
            <w:tcW w:w="1482" w:type="dxa"/>
            <w:tcBorders>
              <w:top w:val="single" w:sz="4" w:space="0" w:color="auto"/>
              <w:left w:val="single" w:sz="4" w:space="0" w:color="auto"/>
              <w:bottom w:val="single" w:sz="4" w:space="0" w:color="auto"/>
              <w:right w:val="single" w:sz="4" w:space="0" w:color="auto"/>
            </w:tcBorders>
            <w:shd w:val="clear" w:color="auto" w:fill="auto"/>
          </w:tcPr>
          <w:p w14:paraId="76801626" w14:textId="597E306D" w:rsidR="0090386B" w:rsidRPr="00CE1934" w:rsidRDefault="00C52BAA" w:rsidP="0090386B">
            <w:pPr>
              <w:overflowPunct/>
              <w:autoSpaceDE/>
              <w:autoSpaceDN/>
              <w:adjustRightInd/>
              <w:textAlignment w:val="auto"/>
              <w:rPr>
                <w:rFonts w:ascii="Arial" w:eastAsia="MS Mincho" w:hAnsi="Arial" w:cs="Arial"/>
                <w:color w:val="000000"/>
                <w:sz w:val="18"/>
                <w:szCs w:val="18"/>
                <w:lang w:eastAsia="ja-JP"/>
              </w:rPr>
            </w:pPr>
            <w:r>
              <w:rPr>
                <w:rFonts w:ascii="Arial" w:eastAsia="MS Mincho" w:hAnsi="Arial" w:cs="Arial"/>
                <w:color w:val="000000"/>
                <w:sz w:val="18"/>
                <w:szCs w:val="18"/>
                <w:lang w:eastAsia="ja-JP"/>
              </w:rPr>
              <w:t xml:space="preserve">Component 3 candidate values: </w:t>
            </w:r>
            <w:r w:rsidRPr="00C52BAA">
              <w:rPr>
                <w:rFonts w:ascii="Arial" w:eastAsia="MS Mincho" w:hAnsi="Arial" w:cs="Arial"/>
                <w:color w:val="000000"/>
                <w:sz w:val="18"/>
                <w:szCs w:val="18"/>
                <w:highlight w:val="yellow"/>
                <w:lang w:eastAsia="ja-JP"/>
              </w:rPr>
              <w:t>{35 us, 140 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A90A" w14:textId="77777777" w:rsidR="0090386B" w:rsidRPr="00CE1934" w:rsidRDefault="0090386B" w:rsidP="0090386B">
            <w:pPr>
              <w:overflowPunct/>
              <w:autoSpaceDE/>
              <w:autoSpaceDN/>
              <w:adjustRightInd/>
              <w:textAlignment w:val="auto"/>
              <w:rPr>
                <w:rFonts w:ascii="Arial" w:hAnsi="Arial" w:cs="Arial"/>
                <w:sz w:val="18"/>
                <w:szCs w:val="18"/>
                <w:lang w:eastAsia="ja-JP"/>
              </w:rPr>
            </w:pPr>
            <w:r w:rsidRPr="00CE1934">
              <w:rPr>
                <w:rFonts w:ascii="Arial" w:hAnsi="Arial" w:cs="Arial" w:hint="eastAsia"/>
                <w:sz w:val="18"/>
                <w:szCs w:val="18"/>
                <w:lang w:eastAsia="ja-JP"/>
              </w:rPr>
              <w:t xml:space="preserve">Optional with capability </w:t>
            </w:r>
            <w:proofErr w:type="spellStart"/>
            <w:r w:rsidRPr="00CE1934">
              <w:rPr>
                <w:rFonts w:ascii="Arial" w:hAnsi="Arial" w:cs="Arial" w:hint="eastAsia"/>
                <w:sz w:val="18"/>
                <w:szCs w:val="18"/>
                <w:lang w:eastAsia="ja-JP"/>
              </w:rPr>
              <w:t>signaling</w:t>
            </w:r>
            <w:proofErr w:type="spellEnd"/>
          </w:p>
        </w:tc>
      </w:tr>
    </w:tbl>
    <w:p w14:paraId="496D4C81" w14:textId="77777777" w:rsidR="00CE1934" w:rsidRPr="00AC6AF3" w:rsidRDefault="00CE1934" w:rsidP="05E9F06E">
      <w:pPr>
        <w:overflowPunct/>
        <w:autoSpaceDE/>
        <w:autoSpaceDN/>
        <w:adjustRightInd/>
        <w:spacing w:after="0"/>
        <w:textAlignment w:val="auto"/>
      </w:pPr>
    </w:p>
    <w:p w14:paraId="3C75EDAF" w14:textId="77777777" w:rsidR="005F1495" w:rsidRDefault="005F1495" w:rsidP="05E9F06E">
      <w:pPr>
        <w:overflowPunct/>
        <w:autoSpaceDE/>
        <w:autoSpaceDN/>
        <w:adjustRightInd/>
        <w:textAlignment w:val="auto"/>
      </w:pPr>
    </w:p>
    <w:p w14:paraId="0FC1C9FC" w14:textId="74E4B3ED" w:rsidR="00960980" w:rsidRDefault="00960980" w:rsidP="00960980">
      <w:pPr>
        <w:pStyle w:val="Heading1"/>
        <w:numPr>
          <w:ilvl w:val="0"/>
          <w:numId w:val="0"/>
        </w:numPr>
      </w:pPr>
      <w:r>
        <w:t>References</w:t>
      </w:r>
    </w:p>
    <w:p w14:paraId="2522D79C" w14:textId="1905A901" w:rsidR="00BF79D4" w:rsidRPr="00C52BAA" w:rsidRDefault="006272C2" w:rsidP="00F05FA5">
      <w:pPr>
        <w:pStyle w:val="ListParagraph"/>
        <w:numPr>
          <w:ilvl w:val="0"/>
          <w:numId w:val="5"/>
        </w:numPr>
        <w:rPr>
          <w:sz w:val="20"/>
          <w:szCs w:val="20"/>
        </w:rPr>
      </w:pPr>
      <w:hyperlink r:id="rId13" w:history="1">
        <w:r w:rsidRPr="00C52BAA">
          <w:rPr>
            <w:rStyle w:val="Hyperlink"/>
            <w:sz w:val="20"/>
            <w:szCs w:val="20"/>
            <w:lang w:val="en-US"/>
          </w:rPr>
          <w:t>R1-2502977</w:t>
        </w:r>
      </w:hyperlink>
      <w:r w:rsidR="00960980" w:rsidRPr="00C52BAA">
        <w:rPr>
          <w:sz w:val="20"/>
          <w:szCs w:val="20"/>
          <w:lang w:val="en-US"/>
        </w:rPr>
        <w:tab/>
      </w:r>
      <w:r w:rsidRPr="00C52BAA">
        <w:rPr>
          <w:sz w:val="20"/>
          <w:szCs w:val="20"/>
          <w:lang w:val="en-US"/>
        </w:rPr>
        <w:t>Updated</w:t>
      </w:r>
      <w:r w:rsidR="00960980" w:rsidRPr="00C52BAA">
        <w:rPr>
          <w:sz w:val="20"/>
          <w:szCs w:val="20"/>
          <w:lang w:val="en-US"/>
        </w:rPr>
        <w:t xml:space="preserve"> RAN1 UE features list for Rel-19 NR after RAN1 #120</w:t>
      </w:r>
      <w:r w:rsidRPr="00C52BAA">
        <w:rPr>
          <w:sz w:val="20"/>
          <w:szCs w:val="20"/>
          <w:lang w:val="en-US"/>
        </w:rPr>
        <w:t>bis</w:t>
      </w:r>
      <w:r w:rsidR="00960980" w:rsidRPr="00C52BAA">
        <w:rPr>
          <w:sz w:val="20"/>
          <w:szCs w:val="20"/>
          <w:lang w:val="en-US"/>
        </w:rPr>
        <w:t>, Moderators (AT&amp;T, NTT DOCOMO, INC.)</w:t>
      </w:r>
    </w:p>
    <w:sectPr w:rsidR="00BF79D4" w:rsidRPr="00C52BAA" w:rsidSect="00C52BAA">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CD7A5" w14:textId="77777777" w:rsidR="00D551EC" w:rsidRDefault="00D551EC">
      <w:r>
        <w:separator/>
      </w:r>
    </w:p>
  </w:endnote>
  <w:endnote w:type="continuationSeparator" w:id="0">
    <w:p w14:paraId="7BC25870" w14:textId="77777777" w:rsidR="00D551EC" w:rsidRDefault="00D551EC">
      <w:r>
        <w:continuationSeparator/>
      </w:r>
    </w:p>
  </w:endnote>
  <w:endnote w:type="continuationNotice" w:id="1">
    <w:p w14:paraId="2C010207" w14:textId="77777777" w:rsidR="00D551EC" w:rsidRDefault="00D55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C0F9" w14:textId="77777777" w:rsidR="00D551EC" w:rsidRDefault="00D551EC">
      <w:r>
        <w:separator/>
      </w:r>
    </w:p>
  </w:footnote>
  <w:footnote w:type="continuationSeparator" w:id="0">
    <w:p w14:paraId="4AAB3F72" w14:textId="77777777" w:rsidR="00D551EC" w:rsidRDefault="00D551EC">
      <w:r>
        <w:continuationSeparator/>
      </w:r>
    </w:p>
  </w:footnote>
  <w:footnote w:type="continuationNotice" w:id="1">
    <w:p w14:paraId="75005DF0" w14:textId="77777777" w:rsidR="00D551EC" w:rsidRDefault="00D55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5201A"/>
    <w:multiLevelType w:val="hybridMultilevel"/>
    <w:tmpl w:val="F4FACE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E45CB"/>
    <w:multiLevelType w:val="hybridMultilevel"/>
    <w:tmpl w:val="8152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9F0D62"/>
    <w:multiLevelType w:val="hybridMultilevel"/>
    <w:tmpl w:val="4CF2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11961443">
    <w:abstractNumId w:val="5"/>
  </w:num>
  <w:num w:numId="2" w16cid:durableId="357124585">
    <w:abstractNumId w:val="6"/>
  </w:num>
  <w:num w:numId="3" w16cid:durableId="1559780918">
    <w:abstractNumId w:val="0"/>
  </w:num>
  <w:num w:numId="4" w16cid:durableId="2118863744">
    <w:abstractNumId w:val="10"/>
  </w:num>
  <w:num w:numId="5" w16cid:durableId="204218306">
    <w:abstractNumId w:val="1"/>
  </w:num>
  <w:num w:numId="6" w16cid:durableId="687416662">
    <w:abstractNumId w:val="11"/>
  </w:num>
  <w:num w:numId="7" w16cid:durableId="2029866714">
    <w:abstractNumId w:val="9"/>
  </w:num>
  <w:num w:numId="8" w16cid:durableId="1659073955">
    <w:abstractNumId w:val="8"/>
  </w:num>
  <w:num w:numId="9" w16cid:durableId="1084103848">
    <w:abstractNumId w:val="2"/>
  </w:num>
  <w:num w:numId="10" w16cid:durableId="691105107">
    <w:abstractNumId w:val="7"/>
  </w:num>
  <w:num w:numId="11" w16cid:durableId="110363573">
    <w:abstractNumId w:val="14"/>
  </w:num>
  <w:num w:numId="12" w16cid:durableId="1790970902">
    <w:abstractNumId w:val="13"/>
  </w:num>
  <w:num w:numId="13" w16cid:durableId="4329396">
    <w:abstractNumId w:val="4"/>
  </w:num>
  <w:num w:numId="14" w16cid:durableId="1699353149">
    <w:abstractNumId w:val="12"/>
  </w:num>
  <w:num w:numId="15" w16cid:durableId="186374079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190C"/>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2C26"/>
    <w:rsid w:val="00083800"/>
    <w:rsid w:val="000839B4"/>
    <w:rsid w:val="000841FB"/>
    <w:rsid w:val="0008433F"/>
    <w:rsid w:val="000845CC"/>
    <w:rsid w:val="00084A65"/>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29"/>
    <w:rsid w:val="00267760"/>
    <w:rsid w:val="00267C7C"/>
    <w:rsid w:val="00267D11"/>
    <w:rsid w:val="002707C1"/>
    <w:rsid w:val="00270AF2"/>
    <w:rsid w:val="00270E29"/>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DD8"/>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73C"/>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B5C"/>
    <w:rsid w:val="0073124A"/>
    <w:rsid w:val="0073163F"/>
    <w:rsid w:val="00731B79"/>
    <w:rsid w:val="00731DA1"/>
    <w:rsid w:val="007320A2"/>
    <w:rsid w:val="007327CE"/>
    <w:rsid w:val="00733893"/>
    <w:rsid w:val="00734A05"/>
    <w:rsid w:val="00734D00"/>
    <w:rsid w:val="00734ECC"/>
    <w:rsid w:val="007354A2"/>
    <w:rsid w:val="00735C6F"/>
    <w:rsid w:val="00736346"/>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87A"/>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86B"/>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2FD7"/>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4F1"/>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5906"/>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4619"/>
    <w:rsid w:val="00BE4C1E"/>
    <w:rsid w:val="00BE4EC9"/>
    <w:rsid w:val="00BE5163"/>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7F6"/>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AA"/>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934"/>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1ED"/>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6512788"/>
    <w:rsid w:val="196BC4AB"/>
    <w:rsid w:val="1A219784"/>
    <w:rsid w:val="1F66AD44"/>
    <w:rsid w:val="20B54C24"/>
    <w:rsid w:val="21A759C8"/>
    <w:rsid w:val="279F0D4B"/>
    <w:rsid w:val="32975CEE"/>
    <w:rsid w:val="367417BC"/>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E90E96-3D60-40B7-A5A6-B0450981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D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0b/Docs/R1-250297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RBI5PAMIO524-1616901215-48243</_dlc_DocId>
    <_dlc_DocIdUrl xmlns="71c5aaf6-e6ce-465b-b873-5148d2a4c105">
      <Url>https://nokia.sharepoint.com/sites/gxp/_layouts/15/DocIdRedir.aspx?ID=RBI5PAMIO524-1616901215-48243</Url>
      <Description>RBI5PAMIO524-1616901215-48243</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http://purl.org/dc/dcmitype/"/>
    <ds:schemaRef ds:uri="http://schemas.microsoft.com/office/2006/documentManagement/types"/>
    <ds:schemaRef ds:uri="http://purl.org/dc/terms/"/>
    <ds:schemaRef ds:uri="http://schemas.microsoft.com/office/infopath/2007/PartnerControls"/>
    <ds:schemaRef ds:uri="7275bb01-7583-478d-bc14-e839a2dd5989"/>
    <ds:schemaRef ds:uri="http://schemas.openxmlformats.org/package/2006/metadata/core-properties"/>
    <ds:schemaRef ds:uri="3f2ce089-3858-4176-9a21-a30f9204848e"/>
    <ds:schemaRef ds:uri="71c5aaf6-e6ce-465b-b873-5148d2a4c105"/>
    <ds:schemaRef ds:uri="http://www.w3.org/XML/1998/namespace"/>
  </ds:schemaRefs>
</ds:datastoreItem>
</file>

<file path=customXml/itemProps6.xml><?xml version="1.0" encoding="utf-8"?>
<ds:datastoreItem xmlns:ds="http://schemas.openxmlformats.org/officeDocument/2006/customXml" ds:itemID="{63EDC186-3EDF-4117-BE4B-CA11A8EEEBA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23</TotalTime>
  <Pages>1</Pages>
  <Words>180</Words>
  <Characters>1035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87</cp:revision>
  <cp:lastPrinted>2016-06-21T00:35:00Z</cp:lastPrinted>
  <dcterms:created xsi:type="dcterms:W3CDTF">2025-01-07T18:27:00Z</dcterms:created>
  <dcterms:modified xsi:type="dcterms:W3CDTF">2025-05-09T15:40:00Z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6af307be-d0ec-48da-8d14-22af462ed2be</vt:lpwstr>
  </property>
</Properties>
</file>